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28" w:rsidRDefault="00AB4328" w:rsidP="00AB432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OBSZAR C - Zadanie 3</w:t>
      </w:r>
    </w:p>
    <w:p w:rsidR="00AB4328" w:rsidRDefault="00AB4328" w:rsidP="00AB4328">
      <w:pPr>
        <w:jc w:val="center"/>
        <w:outlineLvl w:val="0"/>
        <w:rPr>
          <w:b/>
          <w:sz w:val="10"/>
          <w:szCs w:val="10"/>
        </w:rPr>
      </w:pPr>
    </w:p>
    <w:p w:rsidR="00AB4328" w:rsidRDefault="00AB4328" w:rsidP="00AB432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POMOC W ZAKUPIE [PROTEZY KOŃCZYNY, W KTÓREJ ZASTOSOWANO NOWOCZESNE ROZWIĄZANIA TECHNICZNE, TJ. PROTEZY CO NAJMNIEJ NA III POZIOMIE JAKOŚCI</w:t>
      </w:r>
    </w:p>
    <w:p w:rsidR="00AB4328" w:rsidRDefault="00AB4328" w:rsidP="00AB4328">
      <w:pPr>
        <w:jc w:val="both"/>
        <w:rPr>
          <w:b/>
          <w:sz w:val="22"/>
          <w:szCs w:val="22"/>
        </w:rPr>
      </w:pPr>
    </w:p>
    <w:p w:rsidR="00AB4328" w:rsidRDefault="00AB4328" w:rsidP="00AB4328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WARUNKI UCZESTNICTWA:</w:t>
      </w:r>
    </w:p>
    <w:p w:rsidR="00AB4328" w:rsidRDefault="00AB4328" w:rsidP="00AB4328">
      <w:pPr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>* stopień niepełnosprawności,</w:t>
      </w:r>
    </w:p>
    <w:p w:rsidR="00AB4328" w:rsidRDefault="00AB4328" w:rsidP="00AB4328">
      <w:pPr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>* wiek aktywności zawodowej lub zatrudnienie,</w:t>
      </w:r>
    </w:p>
    <w:p w:rsidR="00AB4328" w:rsidRDefault="00AB4328" w:rsidP="00AB4328">
      <w:pPr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>* potwierdzona opinią eksperta PFRON stabilność procesu chorobowego,</w:t>
      </w:r>
    </w:p>
    <w:p w:rsidR="00AB4328" w:rsidRDefault="00AB4328" w:rsidP="00AB4328">
      <w:pPr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>* potwierdzone opinią eksperta PFRON rokowania uzyskania zdolności do pracy w wyniku wsparcia udzielonego w programie,</w:t>
      </w:r>
    </w:p>
    <w:p w:rsidR="00AB4328" w:rsidRDefault="00AB4328" w:rsidP="00AB4328">
      <w:pPr>
        <w:jc w:val="both"/>
        <w:rPr>
          <w:sz w:val="10"/>
          <w:szCs w:val="10"/>
        </w:rPr>
      </w:pPr>
    </w:p>
    <w:p w:rsidR="00AB4328" w:rsidRDefault="00AB4328" w:rsidP="00AB4328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DOFINANSOWANIE:</w:t>
      </w:r>
    </w:p>
    <w:p w:rsidR="00AB4328" w:rsidRDefault="00AB4328" w:rsidP="00AB4328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dofinansowanie zakupu protezy kończyny, w której zastosowano nowoczesne rozwiązania techniczne,</w:t>
      </w:r>
    </w:p>
    <w:p w:rsidR="00AB4328" w:rsidRDefault="00AB4328" w:rsidP="00AB4328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refundacja kosztów dojazdu adresata programu na spotkanie z ekspertem PFRON lub kosztów dojazdu eksperta PFRON na spotkanie z adresatem programu,</w:t>
      </w:r>
    </w:p>
    <w:p w:rsidR="00AB4328" w:rsidRDefault="00AB4328" w:rsidP="00AB4328">
      <w:pPr>
        <w:ind w:left="180"/>
        <w:jc w:val="both"/>
        <w:outlineLvl w:val="0"/>
        <w:rPr>
          <w:sz w:val="10"/>
          <w:szCs w:val="10"/>
        </w:rPr>
      </w:pPr>
    </w:p>
    <w:p w:rsidR="00AB4328" w:rsidRDefault="00AB4328" w:rsidP="00AB4328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KWOTA dofinansowania dla protezy na III poziomie jakości, po amputacji:</w:t>
      </w:r>
    </w:p>
    <w:p w:rsidR="00AB4328" w:rsidRDefault="00AB4328" w:rsidP="00AB4328">
      <w:pPr>
        <w:ind w:firstLine="36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w zakresie ręki – 9.000 zł,</w:t>
      </w:r>
    </w:p>
    <w:p w:rsidR="00AB4328" w:rsidRDefault="00AB4328" w:rsidP="00AB4328">
      <w:pPr>
        <w:ind w:first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przedramienia – 20.000 zł,</w:t>
      </w:r>
    </w:p>
    <w:p w:rsidR="00AB4328" w:rsidRDefault="00AB4328" w:rsidP="00AB4328">
      <w:pPr>
        <w:ind w:first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ramienia i wyłuszczeniu w stawie barkowym – 26.000 zł,</w:t>
      </w:r>
    </w:p>
    <w:p w:rsidR="00AB4328" w:rsidRDefault="00AB4328" w:rsidP="00AB4328">
      <w:pPr>
        <w:ind w:first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na poziomie podudzia – 14.000 zł,</w:t>
      </w:r>
    </w:p>
    <w:p w:rsidR="00AB4328" w:rsidRDefault="00AB4328" w:rsidP="00AB4328">
      <w:pPr>
        <w:ind w:first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na wysokości uda (także przez staw kolanowy) – 20.000 zł,</w:t>
      </w:r>
    </w:p>
    <w:p w:rsidR="00AB4328" w:rsidRDefault="00AB4328" w:rsidP="00AB4328">
      <w:pPr>
        <w:ind w:first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uda i wyłuszczeniu w stawie biodrowym – 25.000 zł,</w:t>
      </w:r>
    </w:p>
    <w:p w:rsidR="00AB4328" w:rsidRDefault="00AB4328" w:rsidP="00AB4328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 możliwością zwiększenia kwoty dofinansowania w wyjątkowych przypadkach i wyłącznie wtedy, gdy celowość zwiększenia jakości protezy do poziomu IV (dla zdolności do pracy wnioskodawcy), zostanie zarekomendowana przez eksperta PFRON,</w:t>
      </w:r>
    </w:p>
    <w:p w:rsidR="00AB4328" w:rsidRDefault="00AB4328" w:rsidP="00AB4328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Refundacja kosztów dojazdu </w:t>
      </w:r>
      <w:r>
        <w:rPr>
          <w:sz w:val="22"/>
          <w:szCs w:val="22"/>
        </w:rPr>
        <w:t>adresata programu na spotkanie z ekspertem PFRON lub kosztów dojazdu eksperta PFRON na spotkanie z adresatem programu – w zależności od poniesionych kosztów, nie więcej niż 200zł..</w:t>
      </w:r>
    </w:p>
    <w:p w:rsidR="00AB4328" w:rsidRDefault="00AB4328" w:rsidP="00AB4328">
      <w:pPr>
        <w:jc w:val="both"/>
        <w:rPr>
          <w:sz w:val="10"/>
          <w:szCs w:val="10"/>
        </w:rPr>
      </w:pPr>
    </w:p>
    <w:p w:rsidR="00AB4328" w:rsidRDefault="00AB4328" w:rsidP="00AB4328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UDZIAŁ WŁASNY:</w:t>
      </w:r>
      <w:r>
        <w:rPr>
          <w:sz w:val="22"/>
          <w:szCs w:val="22"/>
        </w:rPr>
        <w:t xml:space="preserve"> 10% ceny brutto zakupu/usługi</w:t>
      </w:r>
    </w:p>
    <w:p w:rsidR="00AB4328" w:rsidRDefault="00AB4328" w:rsidP="00AB4328">
      <w:pPr>
        <w:jc w:val="both"/>
        <w:rPr>
          <w:sz w:val="10"/>
          <w:szCs w:val="10"/>
        </w:rPr>
      </w:pPr>
    </w:p>
    <w:p w:rsidR="00AB4328" w:rsidRDefault="00AB4328" w:rsidP="00AB432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CZĘSTOTLIWOŚĆ UDZIELANIA POMOCY</w:t>
      </w:r>
      <w:r>
        <w:rPr>
          <w:sz w:val="22"/>
          <w:szCs w:val="22"/>
        </w:rPr>
        <w:t>: co 3 lata, licząc od początku roku następującego po roku, w którym udzielono pomocy.</w:t>
      </w:r>
    </w:p>
    <w:p w:rsidR="00AB4328" w:rsidRDefault="00AB4328" w:rsidP="00AB4328">
      <w:pPr>
        <w:jc w:val="both"/>
        <w:rPr>
          <w:sz w:val="10"/>
          <w:szCs w:val="10"/>
        </w:rPr>
      </w:pPr>
    </w:p>
    <w:p w:rsidR="00AB4328" w:rsidRDefault="00AB4328" w:rsidP="00AB432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EKSPERT PFRON – </w:t>
      </w:r>
      <w:r>
        <w:rPr>
          <w:sz w:val="22"/>
          <w:szCs w:val="22"/>
        </w:rPr>
        <w:t>należy przez to rozumieć specjalistę wojewódzkiego z dziedziny rehabilitacji medycznej lub ortopedii i traumatologii albo innego specjalistę w tych dziedzinach, wskazanego przez jednego z wymienionych specjalistów, który prowadzi na terenie danego województwa długotrwałą opiekę protetyczną nad osobami po amputacjach kończyn; wyboru ekspertów PFRON dokonuje PFRON; ekspertem nie może być osoba, która aktualnie oraz w ciągu ostatnich 3 lat, była przedstawicielem prawnym lub handlowym, członkiem organów nadzorczych bądź zarządzających lub pracownikiem protezowni (zakładu ortopedycznego); ekspertom PFRON przysługuje wynagrodzenie za wydanie opinii do wniosku zakwalifikowanego do dofinansowania, w zakresie:</w:t>
      </w:r>
    </w:p>
    <w:p w:rsidR="00AB4328" w:rsidRDefault="00AB4328" w:rsidP="00AB4328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stabilności procesu chorobowego wnioskodawcy</w:t>
      </w:r>
    </w:p>
    <w:p w:rsidR="00AB4328" w:rsidRDefault="00AB4328" w:rsidP="00AB4328">
      <w:pPr>
        <w:tabs>
          <w:tab w:val="left" w:pos="142"/>
          <w:tab w:val="left" w:pos="5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rokowań co do zdolności wnioskodawcy do pracy w wyniku wsparcia udzielonego w programie, oraz o ile dotyczy:</w:t>
      </w:r>
    </w:p>
    <w:p w:rsidR="00AB4328" w:rsidRDefault="00AB4328" w:rsidP="00AB4328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celowości zwiększenia jakości protezy do poziomu IV (dla zdolności do pracy wnioskodawcy) o zwiększenia kwoty dofinansowania.</w:t>
      </w:r>
    </w:p>
    <w:p w:rsidR="00AB4328" w:rsidRDefault="00AB4328" w:rsidP="00AB4328">
      <w:pPr>
        <w:tabs>
          <w:tab w:val="left" w:pos="360"/>
        </w:tabs>
        <w:ind w:left="360" w:firstLine="360"/>
        <w:jc w:val="both"/>
        <w:rPr>
          <w:sz w:val="10"/>
          <w:szCs w:val="10"/>
        </w:rPr>
      </w:pPr>
    </w:p>
    <w:p w:rsidR="00AB4328" w:rsidRDefault="00AB4328" w:rsidP="00AB4328">
      <w:pPr>
        <w:ind w:left="180" w:hanging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>POZIOM JAKOŚCI PROTEZ KOŃCZYNY GÓRNEJ –</w:t>
      </w:r>
      <w:r>
        <w:rPr>
          <w:sz w:val="22"/>
          <w:szCs w:val="22"/>
        </w:rPr>
        <w:t xml:space="preserve"> należy przez to rozumieć:</w:t>
      </w:r>
    </w:p>
    <w:p w:rsidR="00AB4328" w:rsidRDefault="00AB4328" w:rsidP="00AB4328">
      <w:pPr>
        <w:ind w:left="142"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poziom I – prosta proteza o funkcji głownie kosmetycznej ewentualnie z najprostszymi elementami mechanicznego ustawienia pozycji łokcia i nadgarstka; do wykonania w ramach limitu NFZ; nie przywraca nawet podstawowych funkcji utraconej ręki;</w:t>
      </w:r>
    </w:p>
    <w:p w:rsidR="00AB4328" w:rsidRDefault="00AB4328" w:rsidP="00AB4328">
      <w:pPr>
        <w:ind w:left="142" w:hanging="142"/>
        <w:jc w:val="both"/>
        <w:rPr>
          <w:sz w:val="4"/>
          <w:szCs w:val="4"/>
        </w:rPr>
      </w:pPr>
    </w:p>
    <w:p w:rsidR="00AB4328" w:rsidRDefault="00AB4328" w:rsidP="00AB4328">
      <w:pPr>
        <w:ind w:left="142"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poziom II – proteza z prostymi elementami mechanicznymi oraz standardowym zawieszeniem na kikucie; w zasadzie możliwa do wykonania w ramach NFZ z niewielką dopłatą; uniezależnia pacjenta od otoczenia w stopniu wystarczającym dla podjęcia aktywności zawodowej,</w:t>
      </w:r>
    </w:p>
    <w:p w:rsidR="00AB4328" w:rsidRDefault="00AB4328" w:rsidP="00AB4328">
      <w:pPr>
        <w:ind w:left="142" w:hanging="142"/>
        <w:jc w:val="both"/>
        <w:rPr>
          <w:sz w:val="4"/>
          <w:szCs w:val="4"/>
        </w:rPr>
      </w:pPr>
    </w:p>
    <w:p w:rsidR="00AB4328" w:rsidRDefault="00AB4328" w:rsidP="00AB4328">
      <w:pPr>
        <w:ind w:left="142"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poziom III –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AB4328" w:rsidRDefault="00AB4328" w:rsidP="00AB4328">
      <w:pPr>
        <w:ind w:left="142" w:hanging="142"/>
        <w:jc w:val="both"/>
        <w:rPr>
          <w:b/>
          <w:sz w:val="4"/>
          <w:szCs w:val="4"/>
        </w:rPr>
      </w:pPr>
    </w:p>
    <w:p w:rsidR="00AB4328" w:rsidRDefault="00AB4328" w:rsidP="00AB4328">
      <w:pPr>
        <w:ind w:left="142"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poziom IV – proteza z elementami bioelektrycznymi (lub elementy kombinowane bioelektryczne i mechanicznie – tzw. hybrydowa); proteza w części bioelektrycznej sterowania impulsami z zachowanych grup mięśniowych w znacznym stopniu pozwala na uniezależnienie się od otoczenia, jednak nie zawsze jest akceptowana przez pacjentów, w szczególności z powodu znacznej wagi;</w:t>
      </w:r>
    </w:p>
    <w:p w:rsidR="00AB4328" w:rsidRDefault="00AB4328" w:rsidP="00AB4328">
      <w:pPr>
        <w:ind w:left="720" w:hanging="180"/>
        <w:jc w:val="both"/>
        <w:rPr>
          <w:sz w:val="10"/>
          <w:szCs w:val="10"/>
        </w:rPr>
      </w:pPr>
      <w:bookmarkStart w:id="0" w:name="_GoBack"/>
      <w:bookmarkEnd w:id="0"/>
    </w:p>
    <w:p w:rsidR="00AB4328" w:rsidRDefault="00AB4328" w:rsidP="00AB4328">
      <w:pPr>
        <w:ind w:left="720" w:hanging="180"/>
        <w:jc w:val="both"/>
        <w:rPr>
          <w:sz w:val="10"/>
          <w:szCs w:val="10"/>
        </w:rPr>
      </w:pPr>
    </w:p>
    <w:p w:rsidR="00AB4328" w:rsidRDefault="00AB4328" w:rsidP="00AB4328">
      <w:pPr>
        <w:ind w:left="720" w:hanging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POZIOM JAKOŚCI PROTEZ KOŃCZYNY DOLNEJ –</w:t>
      </w:r>
      <w:r>
        <w:rPr>
          <w:sz w:val="22"/>
          <w:szCs w:val="22"/>
        </w:rPr>
        <w:t xml:space="preserve"> należy przez to rozumieć:</w:t>
      </w:r>
    </w:p>
    <w:p w:rsidR="00AB4328" w:rsidRDefault="00AB4328" w:rsidP="00AB4328">
      <w:pPr>
        <w:ind w:left="180" w:hanging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poziom I – proteza wykonana w ramach limitu NFZ; posiada najprostsze elementy mechaniczne; nie daje  możliwości lokomocyjnych dla codziennego funkcjonowania pacjenta,</w:t>
      </w:r>
    </w:p>
    <w:p w:rsidR="00AB4328" w:rsidRDefault="00AB4328" w:rsidP="00AB4328">
      <w:pPr>
        <w:ind w:left="720" w:hanging="180"/>
        <w:jc w:val="both"/>
        <w:rPr>
          <w:sz w:val="4"/>
          <w:szCs w:val="4"/>
        </w:rPr>
      </w:pPr>
    </w:p>
    <w:p w:rsidR="00AB4328" w:rsidRDefault="00AB4328" w:rsidP="00AB4328">
      <w:pPr>
        <w:ind w:left="180" w:hanging="18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-</w:t>
      </w:r>
      <w:r>
        <w:rPr>
          <w:sz w:val="22"/>
          <w:szCs w:val="22"/>
        </w:rPr>
        <w:t xml:space="preserve"> poziom II – poziom podstawowy umożliwiający w miarę sprawne poruszanie się pacjenta; proteza taka jednak nie daje rzeczywistych możliwości intensywnego, bezpiecznego jej użytkowania potrzebnego do codziennej aktywności zawodowej,</w:t>
      </w:r>
    </w:p>
    <w:p w:rsidR="00AB4328" w:rsidRDefault="00AB4328" w:rsidP="00AB4328">
      <w:pPr>
        <w:ind w:left="720" w:hanging="180"/>
        <w:jc w:val="both"/>
        <w:rPr>
          <w:sz w:val="4"/>
          <w:szCs w:val="4"/>
        </w:rPr>
      </w:pPr>
    </w:p>
    <w:p w:rsidR="00AB4328" w:rsidRDefault="00AB4328" w:rsidP="00AB4328">
      <w:pPr>
        <w:ind w:left="180" w:hanging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poziom III – poziom bardzo dobry; proteza taka wykonana na nowoczesnych elementach (stopa, staw kolanowy) oraz posiadająca bardzo dobre zawieszenie w leju, także na elementach możliwości lokomocyjne, aby mógł podjąć lub kontynuować aktywność zawodową;</w:t>
      </w:r>
    </w:p>
    <w:p w:rsidR="00AB4328" w:rsidRDefault="00AB4328" w:rsidP="00AB4328">
      <w:pPr>
        <w:ind w:left="720" w:hanging="180"/>
        <w:jc w:val="both"/>
        <w:rPr>
          <w:sz w:val="4"/>
          <w:szCs w:val="4"/>
        </w:rPr>
      </w:pPr>
    </w:p>
    <w:p w:rsidR="00AB4328" w:rsidRDefault="00AB4328" w:rsidP="00AB4328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- poziom IV – grupa najnowocześniejszych w świecie protez, także z elementami sterowanymi cyfrowo, z wielowarstwowymi lejami oraz najlżejszymi elementami nośnymi; umożliwiają w niektórych przypadkach także aktywność sportową i rekreacyjną pacjentów;</w:t>
      </w:r>
    </w:p>
    <w:p w:rsidR="00AB4328" w:rsidRDefault="00AB4328" w:rsidP="00AB4328">
      <w:pPr>
        <w:ind w:left="720" w:hanging="180"/>
        <w:jc w:val="both"/>
        <w:rPr>
          <w:sz w:val="10"/>
          <w:szCs w:val="10"/>
        </w:rPr>
      </w:pPr>
    </w:p>
    <w:p w:rsidR="00AB4328" w:rsidRDefault="00AB4328" w:rsidP="00AB432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PROTEZA KOŃCZYNY, W KTÓREJ ZASTOSOWANO NOWOCZESNE ROZWIĄZANIA TECHNICZNE – </w:t>
      </w:r>
      <w:r>
        <w:rPr>
          <w:sz w:val="22"/>
          <w:szCs w:val="22"/>
        </w:rPr>
        <w:t>należy przez to rozumieć protezę/protezy kończyny górnej i/lub dolnej na III lub IV poziomie jakości protez;</w:t>
      </w:r>
    </w:p>
    <w:p w:rsidR="00E1090D" w:rsidRDefault="00E1090D"/>
    <w:sectPr w:rsidR="00E1090D" w:rsidSect="00AB4328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0528C"/>
    <w:multiLevelType w:val="hybridMultilevel"/>
    <w:tmpl w:val="6596A788"/>
    <w:lvl w:ilvl="0" w:tplc="5A28229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7A"/>
    <w:rsid w:val="0025727A"/>
    <w:rsid w:val="00AB4328"/>
    <w:rsid w:val="00E1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2</cp:revision>
  <dcterms:created xsi:type="dcterms:W3CDTF">2015-03-18T13:16:00Z</dcterms:created>
  <dcterms:modified xsi:type="dcterms:W3CDTF">2015-03-18T13:17:00Z</dcterms:modified>
</cp:coreProperties>
</file>